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AC" w:rsidRPr="004441AC" w:rsidRDefault="004441AC" w:rsidP="00444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TÜBİTAK ELEKTRONİK KAYNAKLAR ULUSAL AKADEMİK LİSANS - EKUAL</w:t>
      </w:r>
    </w:p>
    <w:p w:rsidR="004441AC" w:rsidRPr="004441AC" w:rsidRDefault="004441AC" w:rsidP="00444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KULLANIM HAKLARI SÖZLEŞMESİ</w:t>
      </w:r>
    </w:p>
    <w:p w:rsidR="004441AC" w:rsidRPr="004441AC" w:rsidRDefault="004441AC" w:rsidP="00444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Bu Kullanım Hakları Sözleşmesi; Türkiye Bilimsel ve Teknolojik Araştırma Kurumu’na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(TÜBİTAK) bağlı bir AR-GE Kolaylık Birimi olan, Ulusal Akademik Ağ ve Bilgi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Merkezi (ULAKBIM) ile Adıyaman Üniversitesi Rektörlüğü arasında 23 / 09 / 2008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tarihinde imzalanmıştır.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Madde 1. AMAÇ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Bu Kullanım Hakları Sözleşmesi; Türkiye Bilimsel ve Teknolojik Araştırma Kurumu’na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(TÜBİTAK) bağlı bir AR-GE Kolaylık Birimi olan, Ulusal Akademik Ağ ve Bilgi Merkezi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(ULAKBIM) tarafından yürütülen, TÜBİTAK “Elektronik Kaynaklar Ulusal Akademik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Lisansı” (EKUAL) projesi kapsamında erişime açık olan tam metin ve bibliyografik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veri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tabanlarının</w:t>
      </w:r>
      <w:proofErr w:type="spellEnd"/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kullanımına yönelik usul ve esasları saptamak amacıyla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düzenlenmiştir.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Madde 2. KAPSAM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Bu kullanım hakları sözleşmesi TÜBİTAK EKUAL kapsamında hizmet verilen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 Kurumlara ve Yetkili Kullanıcılara sağlanan hizmete ilişkin esasları kapsar.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Madde 3. TANIMLAR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TÜBİTAK EKUAL: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TÜBİTAK ULAKBİM tarafından, bazı tam metin ve bibliyografik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veritabanlarının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, Türkiye’deki ilgili akademik ve araştırma kurumlarının erişimine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açılması için 2006 yılında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lastRenderedPageBreak/>
        <w:t>başlatılan ve açık adıyla “Elektronik Kaynaklar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Ulusal Akademik Lisansı” olarak bilinen projenin adıdır.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Kullanıcı Kurum: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TÜBİTAK EKUAL hizmetlerinden yararlanmak amacıyla bu sözleşmeye taraf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olan ve bu sözleşmenin koşullarına bağlı kalmayı kabul etmiş olan üniversite,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Sağlık Bakanlığı Eğitim Araştırma Hastanesi, eğitim kuruluşu veya araştırma</w:t>
      </w:r>
    </w:p>
    <w:p w:rsidR="004441AC" w:rsidRPr="004441AC" w:rsidRDefault="004441AC" w:rsidP="004441AC">
      <w:pPr>
        <w:shd w:val="clear" w:color="auto" w:fill="FFFFFF"/>
        <w:spacing w:after="0" w:line="360" w:lineRule="auto"/>
        <w:ind w:right="48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Yetkili Kullanıcı: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 kurumlar ve kurumlarda çalışan sürekli, geçici, sözleşmeli personel,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mevcut öğretim elemanları, öğrencileri ve diğer personelidir. Söz konusu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yetkili kişiler; evleri, lojman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ları, öğrenci yurtları da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olmak üzere, kullanıcı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kurumların kütüphane binalarındaki, çalıştıkları veya eğitim gördükleri tüm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mekanlarındaki Güvenli Ağa erişmelerine izin verilen veya kullanıcı kurum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tarafından şifre ya da başka bir yetki verilmiş kişilerdir.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Ayrıca, kullanıcı kurumun personeli olmadığı halde, kütüphane ya da bilgi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hizmetlerinden yararlanmasına, kullanıcı kurumun yerleştiği bina alanı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içindeki bilgisayar terminallerinden Güvenli Ağa erişmesine izin verilen kişiler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(geçici kullanıcılar) de yetkili kullanıcılardır.</w:t>
      </w:r>
    </w:p>
    <w:p w:rsid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Veri Tabanı: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TÜBİTAK EKUAL kapsamında kullanıcı kurumların erişimlerine açılan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elektronik dergiler koleksiyonu ve/veya bibliyografik kayıtlar sunan bilgi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kaynakları koleksiyonudur.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Lisanslı Materyaller: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TÜBİTAK EKUAL kapsamında Eser veya Hak Sahipleri ile TÜBİTAK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 arasında söz konusu materyallerin sınırlı kullanımına ilişkin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devredilemez ve inhisarı olmayan bir lisans anlaşması bulunan, elektronik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bilgi kaynakları ve veri tabanlarıdır.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Ticari Kullanım: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 kurum ve bunun yetkili kullanıcısı için veya bunlardan biri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tarafından, Lisanslı Materyallerin para kazanmak amacıyla satışı, ödünç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verilmesi, transferi, kiralanması veya başka bir şekilde kullanımını ifade eder.</w:t>
      </w:r>
    </w:p>
    <w:p w:rsid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Fikri Mülkiyet Hakları: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lastRenderedPageBreak/>
        <w:t>Patentler, ticari markalar, tic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ari isimler, tasarımlarda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olmak üzere bütün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sınai mülkiyet hakları ve 5846 sayılı Fikir ve Sanat Eserleri Kanunu’nda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düzenlenen telif haklarının tamamını (veri tabanları ve bilgisayar yazılımlarındaki haklar da dahil olmak üzere) ifade eder.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Erişim Sağlanacak Alan: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 Kurumlar tarafından işletilen kütüphane binaları, okullar ve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Güvenli Ağ: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Sadece kullanıcı kurum tarafından onaylanmış, ağa girişte ve ağda kaldığı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sürece kimliği düzenli olarak ve mümkün olan en iyi şekilde doğrulanan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(şifreler vb.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) ve davranışları kullanıcı kurum tarafından düzenlenen yetkili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kullanıcıların erişebildiği bir ağdır.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Eser Sahipleri veya Hak Sahipleri: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TÜBİTAK EKUAL kapsamında kullanıma açılan Veri Tabanları üzerindeki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hakların sahibi olan ve TÜBİTAK ULAKBİM ile lisans anlaşması yapan kişi,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kurum veya kuruluşlardır.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Madde 4. KULLANIM HAKLARI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4.1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TÜBİTAK ULAKBİM, bu sözleşme ile kullanıcı kurum ve yetkili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kullanıcılarına, kendi tekelinde olmayan ve başkasına devredilmesi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mümkün olmayan Lisanslı Materyallere, Yetkili Kullanıcıların Güvenli Ağ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yoluyla ve araştırma, öğretim, kişisel çalışma, kullanıcı kurum ve yetkili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kullanıcılarının olağan uygulama ve faaliyetleri ile ilgili erişim hakkı verir.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tr-TR"/>
        </w:rPr>
        <w:t>4.2 Kullanıcı Kurum;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4.2.1 Lisanslı Materyallerin etkin kullanımını sağlamak amacıyla, Yetkili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Kullanıcıların çoklu kopya almasına izin vermeden, Lisanslı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Materyallerin belli bölümlerinin yerel elektronik kopyalarını yapabilir,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4.2.2 Yetkili Kullanıcılarının Lisanslı Materyallere Güvenli Ağ yoluyla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Sunucudan erişimine izin verebilir,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4.2.3 Yetkili Kullanıcılarının, akademik çalışmalarda kullanım amacıyla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Lisanslı Materyallere güvenli ağ üzerinden erişimini sağlayabilir,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lastRenderedPageBreak/>
        <w:t>4.2.4 5846 sayılı Kanun ile basılı eserler bakımından öngörülen şartlara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uygun kullanmaları şartı </w:t>
      </w: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ile,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Yetkili Kullanıcı olmayan bir kişiye ait bir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araştırma için ya da kişisel çalışma amacıyla istenen tek makalelerin tek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basılı kopyalarını sağlayabilir,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4.2.5 Yetkili Kullanıcıları veya Yetkili Kullanıcı gruplarını eğitme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amacıyla, Lisanslı Materyallerin belirli bölümlerini bilgisayarda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görüntüleyip, yükleyebilir veya basabilir.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4.3 Yetkili Kullanıcılar, Madde 5’e uygun olarak;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4.3.1 Lisanslı Materyalleri araştırabilir, görebilir, ekrana geri getirebilir,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bilgisayarda açabilir,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4.3.2 Lisanslı Materyallerden bazı bölümleri veya tek makaleleri kişisel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kullanımı için elektronik ortamda saklayabilir, bunları seminer,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konferans,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çalıştay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ve benzeri çalışmalarda, kaynak belirtmek koşuluyla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kullanabilir,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4.3.3 Lisanslı Materyallerin bazı bölümlerinden basılı bir kopya alabilir,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4.3.4 Lisanslı Materyallerden bazı bölümleri veya tek makalelerin bir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kopyasını basılı ya da elektronik olarak diğer Yetkili Kullanıcılara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gönderebilir.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4.3.5 Lisanslı Materyallerden, bazı bölümleri veya tek makalelerin bir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kopyasını basılı ya da elektronik olarak, ticari amaç dışındaki bir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araştırma için ya da akademik bir çalışma amacıyla gönderebilir.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4.3.6 Bu Sözleşmedeki hiç bir hüküm, Kullanıcı kurumun ya da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herhangi bir Yetkili Kullanıcının, 5846 Sayılı Fikir ve Sanat Eserleri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Kanunu ya da Türkiye’nin taraf olduğu herhangi bir uluslararası telif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hakları sözleşmesinin Eser Sahipleri ve Hak Sahiplerine tanıdığı yasal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hakların ihlal etmesine cevaz verecek şekilde yorumlanamaz.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Madde 5. YASAKLANMIS KULLANIMLAR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5.1 Ne Kullanıcı Kurum, ne de herhangi bir Yetkili Kullanıcısı: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5.1.1 Yazarların isimlerini, Lisanslı Materyallerde görülen Eser Sahibi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veya Hak Sahibinin telif hakkı ile ilgili notlarını veya diğer tanımlama ve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hakları belirten izleri silemez veya değiştiremez,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lastRenderedPageBreak/>
        <w:t>5.1.2 Madde 4’de izin verilenler dışında, Lisanslı Materyallerden,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herhangi bir amaçla sistematik olarak çok sayıda baskı veya elektronik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kopya yapamaz ve bunun için kullanılan robot yazılımlar ve bunların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benzeri araçlar kullanamaz,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5.1.3 Lisanslı Materyallerin hiç bir parçasını Güvenli Ağ dışında, internet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ve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world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wide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web </w:t>
      </w: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dahil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, herhangi bir elektronik ağ üzerine yükleyemez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ve dağıtamaz.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5.2 Aşağıdaki durumlarda Yayıncı/Derleyici/Aracı’nın açık yazılı izni gerekli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olduğundan, Lisans Sahibi TÜBİTAK ULAKBİM ile iletişime geçilmesi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zorunludur: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5.2.1 Lisanslı Materyallerin tümünü ya da bir kısmını ticari bir amaçla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kullanmak,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5.2.2 Bu sözleşmenin izin verdiği haller dışında, Lisanslı Materyallerin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tümünü ya da bir kısmını, Yetkili Kullanıcılar dışındaki kişilere sistematik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olarak dağıtmak,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5.2.3 Lisanslı Materyalleri, Lisanslı Materyaller temel alınarak veya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onların başka Materyallerle birleştirilmesiyle hazırlanmış eserleri, bu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Sözleşmeyle izin verilen koşullar dışında yayımlamak, dağıtmak veya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edinilmesini sağlamak,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5.2.4 Lisanslı Materyalleri, bilgisayar ekranında görülmelerini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kolaylaştırmak için gerekebilecek müdahaleler veya başka bir nedenle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Yetkili Kullanıcılara bu Sözleşmede verilmiş izinlerin dışında,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değiştirmek, kısaltmak, uyarlamak, telif hakları ile ilgili notlar ve uyarı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sözcüklerinin veya bu sözcüklerin yerlerini değiştirmek.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5.3 Kullanıma yönelik ihlallerin tespit edilmesi durumunda Kullanıcı Kurumun</w:t>
      </w:r>
      <w:r w:rsidR="00983FC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erişimi işbu sözleşmenin 9. maddesi uyarınca kesilir.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t>Madde 6. BELGE SAĞLAMA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 Kurumlar, diğer bir Kullanıcı Kuruma ve/veya Kullanıcı Kurum olmayan bir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kuruma ya da bu kurumun kullanıcısına ya da bireysel olarak başvuran kişilere,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TÜBİTAK EKUAL kapsamındaki Lisanslı Materyallerle, TÜBİTAK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ULAKBİM’in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yazılı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izni olmadan, sistematik şekilde Belge Sağlama Hizmeti veremez.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tr-TR"/>
        </w:rPr>
        <w:lastRenderedPageBreak/>
        <w:t>Madde 7. KURS PAKETLERİ VE ELEKTRONİK REZERV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Yukarıdaki Madde 5’e uygun olarak, Kullanıcı Kurumlar, Lisanslı Materyallerin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bölümlerini, ticari amaç dışında, bir Kullanıcı Kurumda yapılan eğitim sırasında Yetkili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Kullanıcıların yararlanabilmesi için, basılı Ders Paketleri veya Elektronik Rezerve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koleksiyonlarına </w:t>
      </w: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dahil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edebilir.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Bu tür materyallerin her biri kaynak hakkında yeterli bilgi taşımalı, alınan kısmın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başlık ve yazarı, eserin adı, Eser Sahibi ve/veya Hak Sahibinin adı verilmelidir.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Kullanıcı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Kurum, bu amaçla kullanımı sona erdiği zaman, bu tür materyallerin</w:t>
      </w:r>
      <w:r w:rsidR="00722DFE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kopyalarını silmelidir.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bookmarkStart w:id="0" w:name="_GoBack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Madde 8. KULLANICI KURUMUN YÜKÜMLÜLÜKLERİ</w:t>
      </w:r>
    </w:p>
    <w:bookmarkEnd w:id="0"/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 Kullanıcı Kurum;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8.1.1 Yetkili Kullanıcılarını bu Sözleşmenin koşullarından haberdar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edecek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ve gerekli önlemleri alacaktır,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8.1.2 Bu Sözleşmenin koşullarından herhangi birinin ihlaline dair bir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bilgi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alırsa, ihlali yapan Yetkili Kullanıcı ile derhal görüşerek gerekli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uyarılarda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bulunacak ve ihlalin tekrarlanmaması için gerekli önlemleri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alacaktır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8.1.3 Bu Sözleşmenin koşullarından herhangi birinin ihlaline dair bir bilgi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alırsa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TÜBİTAK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ULAKBİM’i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durumdan haberdar edecektir,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8.1.4 Tüm Yetkili Kullanıcıların, Lisanslı Materyallerle ilgili Fikri Mülkiyet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Haklarına saygı göstermelerinin önemi ve bunu yapmadıkları takdirde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her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Kullanıcı Kurum ve Yetkili Kullanıcının maruz kalacağı cezai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müeyyideler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konusunda haberdar edecektir,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lastRenderedPageBreak/>
        <w:t>8.1.5 Yetkili Kullanıcıları bu Sözleşmenin şartlarından haberdar edecek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ve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Lisanslı Materyalleri yetkisiz kullanımdan ve Lisansın diğer şekillerde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ihlal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edilmesinden korumak için gereken önlemleri alacaktır,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8.1.6 Yetkisiz kullanım ya da herhangi bir ihlalin tespit edilmesi halinde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geç 10 gün içerisinde TÜBİTAK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ULAKBİM’i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haberdar edecek ve bu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olayın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hemen son bulmasını sağlamak ve tekrarını önlemek için, disiplin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önlemleri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dahil, gereken makul ve uygun işlemleri yapacaktır,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8.1.7 Şifre ve diğer erişim bilgilerini sadece Yetkili Kullanıcılara verecek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(geçici kullanıcılar hariç), ve Yetkili Kullanıcıların bu bilgileri üçüncü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şahıslara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açıklamalarını önleyecektir,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8.1.8 Kuruma ait tüm IP adreslerinin tam ve güncel kayıtlarını tutarak,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yapılan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değişikliklerden TÜBİTAK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ULAKBİM’i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haberdar edecektir,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8.1.9 Lisanslı Materyallere, “sadece” Yetkili Kullanıcıların erişimini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sağlayacaktır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Madde 9. LİSANSLI MATERYALLERE ERİŞİMİN KESİLMESİ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9.1 Aşağıdaki hallerde Kullanıcı Kurumun Lisanslı Materyallere erişimi kesilir: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9.1.1 Kullanıcı Kurum, bu sözleşmede geçen koşulları kabul etmez ve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ayrıca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bu sözleşme kurum yetkilisi tarafından imzalanıp TÜBİTAK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ULAKBİM’e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gönderilmezse,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lastRenderedPageBreak/>
        <w:t>9.1.2 Kullanıcı Kurum ve onun bütün Yetkili Kullanıcıları, Eser Sahibi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veya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Hak Sahibinin telif haklarını veya diğer Fikri Mülkiyet Haklarını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veya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bu sözleşmede geçen hükümleri ihlal eder ve Eser Sahibi veya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Hak Sahibi ya da TÜBİTAK ULAKBİM tarafından yazılı olarak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uyarılmasından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itibaren on beş (15) gün içinde bunu telafi etmezse,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9.1.3 Kullanıcı Kurumun, yıllık abonelik dönemleri içinde kullanım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istatistiklerinin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düşüklüğünden kaynaklanan kurum bazındaki birim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maliyetin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yükselmesi durumunda, Lisanslı Materyallere erişimi iptal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edilebilir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9.1.4 ULAKBIM, Kullanıcı Kuruma 15 gün öncesinden sebeplerini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bildirmek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koşuluyla, bu sözleşme uyarınca sağladığı erişimi kesebilir.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Madde 10. GENEL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10.1 Bu Sözleşmede yapılacak değişiklikler ancak yazılı olarak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hazırlanıp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her iki tarafın da imzalanması halinde geçerli sayılırlar,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10.2 Bu Sözleşme’nin hükümlerinden herhangi birinin geçersiz ve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uygulama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dışı kalması, geri kalan kısmının devamlılığını ve geçerliliğini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etkilemez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10.3 </w:t>
      </w: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Eğer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taraflar, bu Sözleşmenin yorumlanması üzerinde veya bir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tarafın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ya da Kullanıcı Kurumun Sözleşmenin herhangi bir kısmını ihlal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lastRenderedPageBreak/>
        <w:t>ettiği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konusunda ihtilafa düşerlerse, taraflar görüşmelere başlayacak ve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hukuki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veya idari süreçleri başlatmadan önce anlaşma yoluyla sorunu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çözümlemeye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çalışacaklardır,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10.4 Taraflar, bu Sözleşmeyle ilgili ortaya çıkabilecek bütün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anlaşmazlıkların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çözümlenmesinde Ankara Mahkemelerinin yetkili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olduğunu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kabul ve beyan ederler.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Madde 11. SORUMLULUK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11.1 İşbu sözleşmenin hiçbir hükmü, TÜBİTAK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ULAKBİM’in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bu sözleşme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uyarınca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Kullanıcı Kurumlara veya Yetkili Kullanıcılara karşı sorumlu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tutulabileceği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şeklinde yorumlanamaz. Lisanslı Materyalin ve sözleşme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kapsamında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erişime açılan materyalin kullanımından doğabilecek bütün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sorumluluk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söz konusu materyali kullanan kişi veya kurumlara aittir.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11.2 TÜBİTAK ULAKBİM, Lisanslı Materyalin ve sözleşme kapsamında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erişim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olanağı sağlanan materyalin doğruluğu, kullanıldığı alana ve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amaca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uygunluğu konusunda hiçbir taahhüdü veya garantisi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bulunmamaktadır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11.3 Kullanıcı Kurum aracılığıyla veri tabanından faydalanan veya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Kullanıcı Kurumun kasıt veya ihmali neticesinde veri tabanına erişim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sağlayan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3. kişilerin, bu erişimleri ile eser sahiplerinin mevzuattan doğan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lastRenderedPageBreak/>
        <w:t>haklarını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ihlal etmesi ve bu durumdan TÜBİTAK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ULAKBİM’in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sorumlu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tutulması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halinde, bundan doğan her türlü zarar, Kullanıcı Kurum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tarafından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herhangi bir dava veya takip neticesi beklenmeksizin,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TÜBİTAK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ULAKBİM’in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bildirimi üzerine karşılanır. Bu sözleşme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kapsamındaki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yükümlülüklerini yerine getirmeyen Kullanıcı Kurum, bu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kişi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ve kuruluşlarla birlikte müştereken ve </w:t>
      </w:r>
      <w:proofErr w:type="spell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müteselsilen</w:t>
      </w:r>
      <w:proofErr w:type="spell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sorumludur.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Madde 12. YÜRÜRLÜK VE SÜRE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 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12.1 İşbu Sözleşme imzalandığı tarihte yürürlüğe girer.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12.Bu sözleşme, Lisanslı Materyale erişim hakkı olduğu sürece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yürürlükte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 xml:space="preserve"> kalır. Ancak, bir ihlal olması durumunda, TÜBİTAK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ULAKBİM tarafından Sözleşmenin 9. maddesi uyarınca Kullanıcı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Kurumun Lisanslı Materyale erişiminin kesilmesine kadar yürürlükte</w:t>
      </w:r>
    </w:p>
    <w:p w:rsidR="004441AC" w:rsidRPr="004441AC" w:rsidRDefault="004441AC" w:rsidP="004441AC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proofErr w:type="gramStart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kalır</w:t>
      </w:r>
      <w:proofErr w:type="gramEnd"/>
      <w:r w:rsidRPr="004441AC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.</w:t>
      </w:r>
    </w:p>
    <w:p w:rsidR="00B9139A" w:rsidRPr="004441AC" w:rsidRDefault="00722DFE" w:rsidP="00444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39A" w:rsidRPr="0044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809"/>
    <w:multiLevelType w:val="multilevel"/>
    <w:tmpl w:val="A4E0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4175F"/>
    <w:multiLevelType w:val="multilevel"/>
    <w:tmpl w:val="AA4A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AC"/>
    <w:rsid w:val="004441AC"/>
    <w:rsid w:val="00722DFE"/>
    <w:rsid w:val="00814824"/>
    <w:rsid w:val="00983FC7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4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4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</dc:creator>
  <cp:lastModifiedBy>Ender</cp:lastModifiedBy>
  <cp:revision>2</cp:revision>
  <dcterms:created xsi:type="dcterms:W3CDTF">2020-07-03T11:01:00Z</dcterms:created>
  <dcterms:modified xsi:type="dcterms:W3CDTF">2020-07-03T11:15:00Z</dcterms:modified>
</cp:coreProperties>
</file>